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Real Estate Search‑Intent Lead Generation Tools for Baltimore &amp; Houston</w:t>
      </w:r>
    </w:p>
    <w:p>
      <w:pPr>
        <w:pStyle w:val="Heading1"/>
      </w:pPr>
      <w:r>
        <w:t>Overview</w:t>
      </w:r>
    </w:p>
    <w:p>
      <w:r>
        <w:t>This document summarizes publicly available platforms, advertising methods, and data providers that let real‑estate professionals reach people actively searching online to buy or sell property in Baltimore, Maryland and Houston, Texas. All recommendations are compliant with U.S. privacy regulations and Fair Housing advertising rules.</w:t>
      </w:r>
    </w:p>
    <w:p>
      <w:pPr>
        <w:pStyle w:val="Heading1"/>
      </w:pPr>
      <w:r>
        <w:t>1. Real‑Estate Lead Generation Platforms</w:t>
      </w:r>
    </w:p>
    <w:tbl>
      <w:tblPr>
        <w:tblW w:type="auto" w:w="0"/>
        <w:tblLook w:firstColumn="1" w:firstRow="1" w:lastColumn="0" w:lastRow="0" w:noHBand="0" w:noVBand="1" w:val="04A0"/>
      </w:tblPr>
      <w:tblGrid>
        <w:gridCol w:w="2160"/>
        <w:gridCol w:w="2160"/>
        <w:gridCol w:w="2160"/>
        <w:gridCol w:w="2160"/>
      </w:tblGrid>
      <w:tr>
        <w:tc>
          <w:tcPr>
            <w:tcW w:type="dxa" w:w="2160"/>
          </w:tcPr>
          <w:p>
            <w:r>
              <w:t>Platform</w:t>
            </w:r>
          </w:p>
        </w:tc>
        <w:tc>
          <w:tcPr>
            <w:tcW w:type="dxa" w:w="2160"/>
          </w:tcPr>
          <w:p>
            <w:r>
              <w:t>Lead Source &amp; Targeting</w:t>
            </w:r>
          </w:p>
        </w:tc>
        <w:tc>
          <w:tcPr>
            <w:tcW w:type="dxa" w:w="2160"/>
          </w:tcPr>
          <w:p>
            <w:r>
              <w:t>Pricing Model</w:t>
            </w:r>
          </w:p>
        </w:tc>
        <w:tc>
          <w:tcPr>
            <w:tcW w:type="dxa" w:w="2160"/>
          </w:tcPr>
          <w:p>
            <w:r>
              <w:t>Limitations / Notes</w:t>
            </w:r>
          </w:p>
        </w:tc>
      </w:tr>
      <w:tr>
        <w:tc>
          <w:tcPr>
            <w:tcW w:type="dxa" w:w="2160"/>
          </w:tcPr>
          <w:p>
            <w:r>
              <w:t>Zillow Premier Agent</w:t>
            </w:r>
          </w:p>
        </w:tc>
        <w:tc>
          <w:tcPr>
            <w:tcW w:type="dxa" w:w="2160"/>
          </w:tcPr>
          <w:p>
            <w:r>
              <w:t>Buyer inquiries on Zillow &amp; Trulia portals. Geo‑target by ZIP (cost varies by demand).</w:t>
            </w:r>
          </w:p>
        </w:tc>
        <w:tc>
          <w:tcPr>
            <w:tcW w:type="dxa" w:w="2160"/>
          </w:tcPr>
          <w:p>
            <w:r>
              <w:t>Market‑based cost per impression (~$139–$450+/lead) or Flex plan (35–40 % referral fee on closed deals).</w:t>
            </w:r>
          </w:p>
        </w:tc>
        <w:tc>
          <w:tcPr>
            <w:tcW w:type="dxa" w:w="2160"/>
          </w:tcPr>
          <w:p>
            <w:r>
              <w:t>Mostly buyer leads; hot ZIPs are expensive; Flex is invite‑only.</w:t>
            </w:r>
          </w:p>
        </w:tc>
      </w:tr>
      <w:tr>
        <w:tc>
          <w:tcPr>
            <w:tcW w:type="dxa" w:w="2160"/>
          </w:tcPr>
          <w:p>
            <w:r>
              <w:t>BoldLeads</w:t>
            </w:r>
          </w:p>
        </w:tc>
        <w:tc>
          <w:tcPr>
            <w:tcW w:type="dxa" w:w="2160"/>
          </w:tcPr>
          <w:p>
            <w:r>
              <w:t>Runs Google/Facebook “What’s my home worth?” ads; exclusive leads in your chosen ZIPs.</w:t>
            </w:r>
          </w:p>
        </w:tc>
        <w:tc>
          <w:tcPr>
            <w:tcW w:type="dxa" w:w="2160"/>
          </w:tcPr>
          <w:p>
            <w:r>
              <w:t>$299 / mo license + your ad budget (~$300 +). Unlimited leads driven by spend.</w:t>
            </w:r>
          </w:p>
        </w:tc>
        <w:tc>
          <w:tcPr>
            <w:tcW w:type="dxa" w:w="2160"/>
          </w:tcPr>
          <w:p>
            <w:r>
              <w:t>Focus on seller leads; leads need nurturing; contract per ZIP.</w:t>
            </w:r>
          </w:p>
        </w:tc>
      </w:tr>
      <w:tr>
        <w:tc>
          <w:tcPr>
            <w:tcW w:type="dxa" w:w="2160"/>
          </w:tcPr>
          <w:p>
            <w:r>
              <w:t>Market Leader</w:t>
            </w:r>
          </w:p>
        </w:tc>
        <w:tc>
          <w:tcPr>
            <w:tcW w:type="dxa" w:w="2160"/>
          </w:tcPr>
          <w:p>
            <w:r>
              <w:t>HomeValuation &amp; HouseValues funnels via SEM; exclusive buyer &amp; seller leads in selected areas.</w:t>
            </w:r>
          </w:p>
        </w:tc>
        <w:tc>
          <w:tcPr>
            <w:tcW w:type="dxa" w:w="2160"/>
          </w:tcPr>
          <w:p>
            <w:r>
              <w:t>$189 / mo CRM + $25–$50 per lead (varies by market).</w:t>
            </w:r>
          </w:p>
        </w:tc>
        <w:tc>
          <w:tcPr>
            <w:tcW w:type="dxa" w:w="2160"/>
          </w:tcPr>
          <w:p>
            <w:r>
              <w:t>6‑month contracts; fixed monthly lead allotment; lead quality varies.</w:t>
            </w:r>
          </w:p>
        </w:tc>
      </w:tr>
      <w:tr>
        <w:tc>
          <w:tcPr>
            <w:tcW w:type="dxa" w:w="2160"/>
          </w:tcPr>
          <w:p>
            <w:r>
              <w:t>Realtor.com Leads (Opcity)</w:t>
            </w:r>
          </w:p>
        </w:tc>
        <w:tc>
          <w:tcPr>
            <w:tcW w:type="dxa" w:w="2160"/>
          </w:tcPr>
          <w:p>
            <w:r>
              <w:t>Inbound buyer &amp; seller inquiries on Realtor.com matched to agents. Concierge live‑transfers.</w:t>
            </w:r>
          </w:p>
        </w:tc>
        <w:tc>
          <w:tcPr>
            <w:tcW w:type="dxa" w:w="2160"/>
          </w:tcPr>
          <w:p>
            <w:r>
              <w:t>No upfront fee—30–35 % referral fee at closing.</w:t>
            </w:r>
          </w:p>
        </w:tc>
        <w:tc>
          <w:tcPr>
            <w:tcW w:type="dxa" w:w="2160"/>
          </w:tcPr>
          <w:p>
            <w:r>
              <w:t>Must claim leads instantly via app; volume depends on agent performance.</w:t>
            </w:r>
          </w:p>
        </w:tc>
      </w:tr>
    </w:tbl>
    <w:p>
      <w:pPr>
        <w:pStyle w:val="Heading1"/>
      </w:pPr>
      <w:r>
        <w:t>2. Online Advertising Platforms (Search &amp; Social)</w:t>
      </w:r>
    </w:p>
    <w:tbl>
      <w:tblPr>
        <w:tblW w:type="auto" w:w="0"/>
        <w:tblLook w:firstColumn="1" w:firstRow="1" w:lastColumn="0" w:lastRow="0" w:noHBand="0" w:noVBand="1" w:val="04A0"/>
      </w:tblPr>
      <w:tblGrid>
        <w:gridCol w:w="2160"/>
        <w:gridCol w:w="2160"/>
        <w:gridCol w:w="2160"/>
        <w:gridCol w:w="2160"/>
      </w:tblGrid>
      <w:tr>
        <w:tc>
          <w:tcPr>
            <w:tcW w:type="dxa" w:w="2160"/>
          </w:tcPr>
          <w:p>
            <w:r>
              <w:t>Ad Platform</w:t>
            </w:r>
          </w:p>
        </w:tc>
        <w:tc>
          <w:tcPr>
            <w:tcW w:type="dxa" w:w="2160"/>
          </w:tcPr>
          <w:p>
            <w:r>
              <w:t>Targeting Capabilities</w:t>
            </w:r>
          </w:p>
        </w:tc>
        <w:tc>
          <w:tcPr>
            <w:tcW w:type="dxa" w:w="2160"/>
          </w:tcPr>
          <w:p>
            <w:r>
              <w:t>Typical Cost</w:t>
            </w:r>
          </w:p>
        </w:tc>
        <w:tc>
          <w:tcPr>
            <w:tcW w:type="dxa" w:w="2160"/>
          </w:tcPr>
          <w:p>
            <w:r>
              <w:t>Key Limitations / Considerations</w:t>
            </w:r>
          </w:p>
        </w:tc>
      </w:tr>
      <w:tr>
        <w:tc>
          <w:tcPr>
            <w:tcW w:type="dxa" w:w="2160"/>
          </w:tcPr>
          <w:p>
            <w:r>
              <w:t>Google Ads – Search</w:t>
            </w:r>
          </w:p>
        </w:tc>
        <w:tc>
          <w:tcPr>
            <w:tcW w:type="dxa" w:w="2160"/>
          </w:tcPr>
          <w:p>
            <w:r>
              <w:t>Keyword bidding on queries like “sell my house Baltimore”; city or 15‑mile radius geo‑filter; Custom Intent audiences.</w:t>
            </w:r>
          </w:p>
        </w:tc>
        <w:tc>
          <w:tcPr>
            <w:tcW w:type="dxa" w:w="2160"/>
          </w:tcPr>
          <w:p>
            <w:r>
              <w:t>CPC ~$5–$15; seller lead CPL ~ $12 (Houston) – $16 (Baltimore).</w:t>
            </w:r>
          </w:p>
        </w:tc>
        <w:tc>
          <w:tcPr>
            <w:tcW w:type="dxa" w:w="2160"/>
          </w:tcPr>
          <w:p>
            <w:r>
              <w:t>Housing category bans ZIP, age, gender targeting; high competition.</w:t>
            </w:r>
          </w:p>
        </w:tc>
      </w:tr>
      <w:tr>
        <w:tc>
          <w:tcPr>
            <w:tcW w:type="dxa" w:w="2160"/>
          </w:tcPr>
          <w:p>
            <w:r>
              <w:t>Facebook / Instagram (Meta)</w:t>
            </w:r>
          </w:p>
        </w:tc>
        <w:tc>
          <w:tcPr>
            <w:tcW w:type="dxa" w:w="2160"/>
          </w:tcPr>
          <w:p>
            <w:r>
              <w:t>Interest &amp; behavior targeting (real‑estate interests, site visitors); 15‑mile radius min.</w:t>
            </w:r>
          </w:p>
        </w:tc>
        <w:tc>
          <w:tcPr>
            <w:tcW w:type="dxa" w:w="2160"/>
          </w:tcPr>
          <w:p>
            <w:r>
              <w:t>$5–$20 per lead via Lead Forms.</w:t>
            </w:r>
          </w:p>
        </w:tc>
        <w:tc>
          <w:tcPr>
            <w:tcW w:type="dxa" w:w="2160"/>
          </w:tcPr>
          <w:p>
            <w:r>
              <w:t>Special Ad Category restrictions; no ZIP or demographic targeting; leads often early‑funnel.</w:t>
            </w:r>
          </w:p>
        </w:tc>
      </w:tr>
      <w:tr>
        <w:tc>
          <w:tcPr>
            <w:tcW w:type="dxa" w:w="2160"/>
          </w:tcPr>
          <w:p>
            <w:r>
              <w:t>Google Display &amp; YouTube</w:t>
            </w:r>
          </w:p>
        </w:tc>
        <w:tc>
          <w:tcPr>
            <w:tcW w:type="dxa" w:w="2160"/>
          </w:tcPr>
          <w:p>
            <w:r>
              <w:t>In‑market audiences + Custom Audiences (recent searches); banner/video retargeting within chosen city.</w:t>
            </w:r>
          </w:p>
        </w:tc>
        <w:tc>
          <w:tcPr>
            <w:tcW w:type="dxa" w:w="2160"/>
          </w:tcPr>
          <w:p>
            <w:r>
              <w:t>CPM ~$5–$15; CPC often &lt;$1; lower conversion rate.</w:t>
            </w:r>
          </w:p>
        </w:tc>
        <w:tc>
          <w:tcPr>
            <w:tcW w:type="dxa" w:w="2160"/>
          </w:tcPr>
          <w:p>
            <w:r>
              <w:t>Best for awareness/retargeting, not immediate intent.</w:t>
            </w:r>
          </w:p>
        </w:tc>
      </w:tr>
      <w:tr>
        <w:tc>
          <w:tcPr>
            <w:tcW w:type="dxa" w:w="2160"/>
          </w:tcPr>
          <w:p>
            <w:r>
              <w:t>Microsoft Advertising (Bing)</w:t>
            </w:r>
          </w:p>
        </w:tc>
        <w:tc>
          <w:tcPr>
            <w:tcW w:type="dxa" w:w="2160"/>
          </w:tcPr>
          <w:p>
            <w:r>
              <w:t>Same keyword approach as Google; often cheaper clicks; older homeowner audience.</w:t>
            </w:r>
          </w:p>
        </w:tc>
        <w:tc>
          <w:tcPr>
            <w:tcW w:type="dxa" w:w="2160"/>
          </w:tcPr>
          <w:p>
            <w:r>
              <w:t>Lower CPC than Google; volume smaller.</w:t>
            </w:r>
          </w:p>
        </w:tc>
        <w:tc>
          <w:tcPr>
            <w:tcW w:type="dxa" w:w="2160"/>
          </w:tcPr>
          <w:p>
            <w:r>
              <w:t>Must still follow housing ad rules; fewer total searches.</w:t>
            </w:r>
          </w:p>
        </w:tc>
      </w:tr>
    </w:tbl>
    <w:p>
      <w:pPr>
        <w:pStyle w:val="Heading1"/>
      </w:pPr>
      <w:r>
        <w:t>3. Intent‑Data Providers &amp; Predictive Sellers Lists</w:t>
      </w:r>
    </w:p>
    <w:p>
      <w:r>
        <w:rPr>
          <w:b/>
        </w:rPr>
        <w:t xml:space="preserve">• SmartZip: </w:t>
      </w:r>
      <w:r>
        <w:t>Predictive analytics scoring homeowners likely to sell; integrates mailing &amp; online ads; $299–$999 / mo by farm size.</w:t>
      </w:r>
    </w:p>
    <w:p>
      <w:r>
        <w:rPr>
          <w:b/>
        </w:rPr>
        <w:t xml:space="preserve">• Offrs: </w:t>
      </w:r>
      <w:r>
        <w:t>AI‑driven seller predictions using consumer &amp; property data; $0.10–$0.20 per property per month for territory rights.</w:t>
      </w:r>
    </w:p>
    <w:p>
      <w:r>
        <w:rPr>
          <w:b/>
        </w:rPr>
        <w:t xml:space="preserve">• Revaluate: </w:t>
      </w:r>
      <w:r>
        <w:t>“Likely‑to‑move” scores to prioritize your own contacts; priced per 1,000 records (custom quotes).</w:t>
      </w:r>
    </w:p>
    <w:p>
      <w:r>
        <w:rPr>
          <w:b/>
        </w:rPr>
        <w:t xml:space="preserve">• AudienceTown / Data‑Axle segments: </w:t>
      </w:r>
      <w:r>
        <w:t>Programmatic advertising segments such as “pre‑mover”; CPM pricing via DSPs.</w:t>
      </w:r>
    </w:p>
    <w:p>
      <w:r>
        <w:rPr>
          <w:b/>
        </w:rPr>
        <w:t xml:space="preserve">• CRM Behavior Triggers (Homebot, kvCORE, etc.): </w:t>
      </w:r>
      <w:r>
        <w:t>First‑party signals when contacts repeatedly check home value or listing views.</w:t>
      </w:r>
    </w:p>
    <w:p>
      <w:pPr>
        <w:pStyle w:val="Heading1"/>
      </w:pPr>
      <w:r>
        <w:t>4. Localized Marketing CRMs &amp; Managed Lead Services</w:t>
      </w:r>
    </w:p>
    <w:tbl>
      <w:tblPr>
        <w:tblW w:type="auto" w:w="0"/>
        <w:tblLook w:firstColumn="1" w:firstRow="1" w:lastColumn="0" w:lastRow="0" w:noHBand="0" w:noVBand="1" w:val="04A0"/>
      </w:tblPr>
      <w:tblGrid>
        <w:gridCol w:w="1728"/>
        <w:gridCol w:w="1728"/>
        <w:gridCol w:w="1728"/>
        <w:gridCol w:w="1728"/>
        <w:gridCol w:w="1728"/>
      </w:tblGrid>
      <w:tr>
        <w:tc>
          <w:tcPr>
            <w:tcW w:type="dxa" w:w="1728"/>
          </w:tcPr>
          <w:p>
            <w:r>
              <w:t>Service</w:t>
            </w:r>
          </w:p>
        </w:tc>
        <w:tc>
          <w:tcPr>
            <w:tcW w:type="dxa" w:w="1728"/>
          </w:tcPr>
          <w:p>
            <w:r>
              <w:t>What It Does</w:t>
            </w:r>
          </w:p>
        </w:tc>
        <w:tc>
          <w:tcPr>
            <w:tcW w:type="dxa" w:w="1728"/>
          </w:tcPr>
          <w:p>
            <w:r>
              <w:t>Geo‑Targeting &amp; Lead Gen</w:t>
            </w:r>
          </w:p>
        </w:tc>
        <w:tc>
          <w:tcPr>
            <w:tcW w:type="dxa" w:w="1728"/>
          </w:tcPr>
          <w:p>
            <w:r>
              <w:t>Pricing (approx.)</w:t>
            </w:r>
          </w:p>
        </w:tc>
        <w:tc>
          <w:tcPr>
            <w:tcW w:type="dxa" w:w="1728"/>
          </w:tcPr>
          <w:p>
            <w:r>
              <w:t>Notes</w:t>
            </w:r>
          </w:p>
        </w:tc>
      </w:tr>
      <w:tr>
        <w:tc>
          <w:tcPr>
            <w:tcW w:type="dxa" w:w="1728"/>
          </w:tcPr>
          <w:p>
            <w:r>
              <w:t>BoomTown</w:t>
            </w:r>
          </w:p>
        </w:tc>
        <w:tc>
          <w:tcPr>
            <w:tcW w:type="dxa" w:w="1728"/>
          </w:tcPr>
          <w:p>
            <w:r>
              <w:t>IDX website + CRM + managed Google/Facebook ads.</w:t>
            </w:r>
          </w:p>
        </w:tc>
        <w:tc>
          <w:tcPr>
            <w:tcW w:type="dxa" w:w="1728"/>
          </w:tcPr>
          <w:p>
            <w:r>
              <w:t>You define cities/ZIPs; they run campaigns driving leads to your site.</w:t>
            </w:r>
          </w:p>
        </w:tc>
        <w:tc>
          <w:tcPr>
            <w:tcW w:type="dxa" w:w="1728"/>
          </w:tcPr>
          <w:p>
            <w:r>
              <w:t>$1,000–$1,500 / mo + ad budget (min ~$250).</w:t>
            </w:r>
          </w:p>
        </w:tc>
        <w:tc>
          <w:tcPr>
            <w:tcW w:type="dxa" w:w="1728"/>
          </w:tcPr>
          <w:p>
            <w:r>
              <w:t>Robust but expensive; best for teams.</w:t>
            </w:r>
          </w:p>
        </w:tc>
      </w:tr>
      <w:tr>
        <w:tc>
          <w:tcPr>
            <w:tcW w:type="dxa" w:w="1728"/>
          </w:tcPr>
          <w:p>
            <w:r>
              <w:t>Ylopo</w:t>
            </w:r>
          </w:p>
        </w:tc>
        <w:tc>
          <w:tcPr>
            <w:tcW w:type="dxa" w:w="1728"/>
          </w:tcPr>
          <w:p>
            <w:r>
              <w:t>Digital suite w/ FB, IG, Google remarketing, AI texting bot.</w:t>
            </w:r>
          </w:p>
        </w:tc>
        <w:tc>
          <w:tcPr>
            <w:tcW w:type="dxa" w:w="1728"/>
          </w:tcPr>
          <w:p>
            <w:r>
              <w:t>Choose metro &amp; budget; dynamic listing ads and seller forms.</w:t>
            </w:r>
          </w:p>
        </w:tc>
        <w:tc>
          <w:tcPr>
            <w:tcW w:type="dxa" w:w="1728"/>
          </w:tcPr>
          <w:p>
            <w:r>
              <w:t>$495 / mo incl. ~$300 ads; scale up spend as desired.</w:t>
            </w:r>
          </w:p>
        </w:tc>
        <w:tc>
          <w:tcPr>
            <w:tcW w:type="dxa" w:w="1728"/>
          </w:tcPr>
          <w:p>
            <w:r>
              <w:t>Strong FB costs per lead; AI follow‑up optional.</w:t>
            </w:r>
          </w:p>
        </w:tc>
      </w:tr>
      <w:tr>
        <w:tc>
          <w:tcPr>
            <w:tcW w:type="dxa" w:w="1728"/>
          </w:tcPr>
          <w:p>
            <w:r>
              <w:t>CINC</w:t>
            </w:r>
          </w:p>
        </w:tc>
        <w:tc>
          <w:tcPr>
            <w:tcW w:type="dxa" w:w="1728"/>
          </w:tcPr>
          <w:p>
            <w:r>
              <w:t>High‑end IDX + CRM; heavy Google PPC; mobile app for speed‑to‑lead.</w:t>
            </w:r>
          </w:p>
        </w:tc>
        <w:tc>
          <w:tcPr>
            <w:tcW w:type="dxa" w:w="1728"/>
          </w:tcPr>
          <w:p>
            <w:r>
              <w:t>City/county targeting; they manage PPC.</w:t>
            </w:r>
          </w:p>
        </w:tc>
        <w:tc>
          <w:tcPr>
            <w:tcW w:type="dxa" w:w="1728"/>
          </w:tcPr>
          <w:p>
            <w:r>
              <w:t>$1,500–$2,000 / mo + ads.</w:t>
            </w:r>
          </w:p>
        </w:tc>
        <w:tc>
          <w:tcPr>
            <w:tcW w:type="dxa" w:w="1728"/>
          </w:tcPr>
          <w:p>
            <w:r>
              <w:t>Quality search leads; large budget required.</w:t>
            </w:r>
          </w:p>
        </w:tc>
      </w:tr>
      <w:tr>
        <w:tc>
          <w:tcPr>
            <w:tcW w:type="dxa" w:w="1728"/>
          </w:tcPr>
          <w:p>
            <w:r>
              <w:t>Zurple</w:t>
            </w:r>
          </w:p>
        </w:tc>
        <w:tc>
          <w:tcPr>
            <w:tcW w:type="dxa" w:w="1728"/>
          </w:tcPr>
          <w:p>
            <w:r>
              <w:t>Automated behavior‑trigger emails; Google Ads buyer traffic.</w:t>
            </w:r>
          </w:p>
        </w:tc>
        <w:tc>
          <w:tcPr>
            <w:tcW w:type="dxa" w:w="1728"/>
          </w:tcPr>
          <w:p>
            <w:r>
              <w:t>Buy ZIP lead packs; seller page triggers intent alerts.</w:t>
            </w:r>
          </w:p>
        </w:tc>
        <w:tc>
          <w:tcPr>
            <w:tcW w:type="dxa" w:w="1728"/>
          </w:tcPr>
          <w:p>
            <w:r>
              <w:t>$149–$299 / mo + $7–$30 per lead.</w:t>
            </w:r>
          </w:p>
        </w:tc>
        <w:tc>
          <w:tcPr>
            <w:tcW w:type="dxa" w:w="1728"/>
          </w:tcPr>
          <w:p>
            <w:r>
              <w:t>Hands‑off nurture; mostly buyer‑focused.</w:t>
            </w:r>
          </w:p>
        </w:tc>
      </w:tr>
    </w:tbl>
    <w:p>
      <w:pPr>
        <w:pStyle w:val="Heading1"/>
      </w:pPr>
      <w:r>
        <w:t>5. Ethical &amp; Legal Considerations</w:t>
      </w:r>
    </w:p>
    <w:p>
      <w:r>
        <w:t>• Comply with privacy laws (GDPR, CCPA) – use aggregate targeting until users opt in.</w:t>
      </w:r>
    </w:p>
    <w:p>
      <w:r>
        <w:t>• Follow Fair Housing rules: no discriminatory ZIP, demographic, or exclusionary targeting.</w:t>
      </w:r>
    </w:p>
    <w:p>
      <w:r>
        <w:t>• Google &amp; Meta impose 15‑mile minimum radius &amp; remove age/gender filters for housing ads.</w:t>
      </w:r>
    </w:p>
    <w:p>
      <w:r>
        <w:t>• Provide opt‑out links and honor Do‑Not‑Call when contacting purchased leads.</w:t>
      </w:r>
    </w:p>
    <w:p>
      <w:r>
        <w:t>• Use truthful ad copy and transparent value offers; nurture leads responsibly.</w:t>
      </w:r>
    </w:p>
    <w:p>
      <w:pPr>
        <w:pStyle w:val="Heading1"/>
      </w:pPr>
      <w:r>
        <w:t>Sources</w:t>
      </w:r>
    </w:p>
    <w:p>
      <w:r>
        <w:t>Detailed citations (industry articles, platform FAQs, policy pages) are available on request; key facts derive from Zillow Premier Agent docs, Google &amp; Meta housing policy pages, and 2024–2025 real‑estate marketing cost studies.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